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widowControl w:val="off"/>
        <w:rPr>
          <w:rFonts w:ascii="Times New Roman" w:hAnsi="Times New Roman" w:cs="Times New Roman" w:eastAsia="Times New Roman"/>
          <w:sz w:val="24"/>
          <w:szCs w:val="24"/>
          <w:lang w:eastAsia="de-DE"/>
        </w:rPr>
      </w:pPr>
      <w:r>
        <w:rPr>
          <w:rFonts w:ascii="Arvo Gruen" w:hAnsi="Arvo Gruen" w:cs="Times New Roman" w:eastAsia="Times New Roman"/>
          <w:b/>
          <w:bCs/>
          <w:color w:val="000000"/>
          <w:sz w:val="28"/>
          <w:szCs w:val="28"/>
          <w:lang w:eastAsia="de-DE"/>
        </w:rPr>
        <w:t xml:space="preserve">Bezirksgruppen-Beschlüsse 2022</w:t>
      </w:r>
      <w:r/>
    </w:p>
    <w:p>
      <w:r/>
      <w:r/>
    </w:p>
    <w:tbl>
      <w:tblPr>
        <w:tblStyle w:val="82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>
        <w:trPr/>
        <w:tc>
          <w:tcPr>
            <w:tcW w:w="4531" w:type="dxa"/>
            <w:vAlign w:val="center"/>
            <w:textDirection w:val="lrTb"/>
            <w:noWrap w:val="false"/>
          </w:tcPr>
          <w:p>
            <w:r>
              <w:rPr>
                <w:rFonts w:ascii="Open Sans" w:hAnsi="Open Sans" w:cs="Open Sans" w:eastAsia="Times New Roman"/>
                <w:b/>
                <w:bCs/>
                <w:color w:val="000000"/>
                <w:lang w:eastAsia="de-DE"/>
              </w:rPr>
              <w:t xml:space="preserve">Bezirksgruppe / Datum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rPr>
                <w:rFonts w:ascii="Open Sans" w:hAnsi="Open Sans" w:cs="Open Sans" w:eastAsia="Times New Roman"/>
                <w:b/>
                <w:bCs/>
                <w:color w:val="000000"/>
                <w:lang w:eastAsia="de-DE"/>
              </w:rPr>
              <w:t xml:space="preserve">Beschlüsse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r>
              <w:rPr>
                <w:rFonts w:ascii="Open Sans" w:hAnsi="Open Sans" w:cs="Open Sans" w:eastAsia="Times New Roman"/>
                <w:color w:val="000000"/>
                <w:lang w:eastAsia="de-DE"/>
              </w:rPr>
              <w:t xml:space="preserve">22.2.2022</w:t>
            </w:r>
            <w:r/>
          </w:p>
        </w:tc>
        <w:tc>
          <w:tcPr>
            <w:tcW w:w="4531" w:type="dxa"/>
            <w:textDirection w:val="lrTb"/>
            <w:noWrap w:val="false"/>
          </w:tcPr>
          <w:p>
            <w:r>
              <w:rPr>
                <w:rFonts w:ascii="Open Sans" w:hAnsi="Open Sans" w:cs="Open Sans" w:eastAsia="Times New Roman"/>
                <w:color w:val="000000"/>
                <w:lang w:eastAsia="de-DE"/>
              </w:rPr>
              <w:t xml:space="preserve">Haushalt 2022</w:t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r>
              <w:rPr>
                <w:rFonts w:ascii="Open Sans" w:hAnsi="Open Sans" w:cs="Open Sans" w:eastAsia="Times New Roman"/>
                <w:color w:val="000000"/>
                <w:lang w:eastAsia="de-DE"/>
              </w:rPr>
              <w:t xml:space="preserve">10.05.2022</w:t>
            </w:r>
            <w:r/>
          </w:p>
        </w:tc>
        <w:tc>
          <w:tcPr>
            <w:tcW w:w="4531" w:type="dxa"/>
            <w:vAlign w:val="center"/>
            <w:textDirection w:val="lrTb"/>
            <w:noWrap w:val="false"/>
          </w:tcPr>
          <w:p>
            <w:r>
              <w:t xml:space="preserve">Wahl BDK-Delegierte, LDK-Delegierte, LA-Delegierte, Frauenkonferenz-Delegierte, Frauen und OFFEN sowie Ersatz</w:t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30.08.2022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Antrag 1 (eingereicht von AG Öko): kein fossiler Lock-in über LNG-Terminals </w:t>
            </w:r>
            <w:r/>
          </w:p>
          <w:p>
            <w:pPr>
              <w:rPr>
                <w:highlight w:val="none"/>
              </w:rPr>
            </w:pPr>
            <w:r>
              <w:t xml:space="preserve">-&gt; angenommen </w:t>
            </w:r>
            <w:r/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Antrag 2 </w:t>
            </w:r>
            <w:r>
              <w:t xml:space="preserve">(eingereicht von AG Öko): Am Atomausstieg festhalten – keine Laufzeitverlängerung und auch kein Streckbetrieb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-&gt; angenommen </w:t>
            </w:r>
            <w:r>
              <w:rPr>
                <w:highlight w:val="none"/>
              </w:rPr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Antrag 3 (eingereicht durch Jenny Laube): Nieder mit der “Festung Europa“! Für die Wahrung der Menschenrechte an den EU-Außengrenzen und eine menschenwürdige europäische Asyl- und Einwanderungspolitik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-&gt; angenommen </w:t>
            </w:r>
            <w:r>
              <w:rPr>
                <w:highlight w:val="none"/>
              </w:rPr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Antrag 4 (eingebracht durch AG Diversität): Gesellschaftlichen Zusammenhalt stärken – Wahlrecht für alle!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-&gt; angenommen 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pPr>
              <w:rPr>
                <w:highlight w:val="yellow"/>
              </w:rPr>
            </w:pPr>
            <w:r>
              <w:rPr>
                <w:highlight w:val="none"/>
              </w:rPr>
              <w:t xml:space="preserve">13.09.2022</w:t>
            </w:r>
            <w:r>
              <w:rPr>
                <w:highlight w:val="yellow"/>
              </w:rPr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Nachwahl LA-Delegierte und LA-Ersatzdelegierte Frauen</w:t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11.10.2022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Eilantrag für BDK (14.-16.10.) eingereicht von </w:t>
            </w:r>
            <w:r>
              <w:t xml:space="preserve">Philip Alexander Hiersemenzel (KV Berlin-Friedrichshain/Kreuzberg)</w:t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-&gt; Annahme der modifizierte Überarbeitung bei 0 Gegenstimmen und einer Enthaltung</w:t>
            </w:r>
            <w:r>
              <w:rPr>
                <w:highlight w:val="none"/>
              </w:rPr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Antrag auf Beschluss einer Netiquette</w:t>
            </w:r>
            <w:r>
              <w:rPr>
                <w:highlight w:val="none"/>
              </w:rPr>
            </w:r>
            <w:r/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-&gt; Annahme der modifizierten Überarbeitung bei einer Gegenstimme und vier Enthaltungen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08.11.2022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Nachtragshaushalt einstimmig beschlossen </w:t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r>
              <w:t xml:space="preserve">22.11.2022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Wahl Wahlkampfsteuerungsgruppe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Wahl LDK Delegierte</w:t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ind w:left="0" w:firstLine="0"/>
              <w:rPr>
                <w:highlight w:val="none"/>
              </w:rPr>
            </w:pPr>
            <w:r>
              <w:t xml:space="preserve">Antrag 1 (eingebracht durch GJ Xhain): Feministische Außenpolitik oder symbolische Reaktion der deutschen Regierung auf die Proteste im Iran </w:t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-&gt; Annahme bei einer Gegenstimme und einer Enthaltung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Antrag 2 (eingebracht durch GA und FraVo): Präambel zum BVV-Wahlprogramm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-&gt; einstimmig angenommen 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</w:pPr>
            <w:r/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Antrag 3 (eingebracht durch GA): Verlängerung der GA-Wahlperiode bis November 2023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-&gt; Änderungsantrag der GJ Xhain bei 14 Für- und 16 Gegenstimmen abgelehnt </w:t>
            </w:r>
            <w:r>
              <w:rPr>
                <w:highlight w:val="none"/>
              </w:rPr>
            </w:r>
            <w:r/>
          </w:p>
          <w:p>
            <w:pPr>
              <w:ind w:left="0" w:firstLine="0"/>
              <w:rPr>
                <w:highlight w:val="none"/>
              </w:rPr>
            </w:pPr>
            <w:r>
              <w:rPr>
                <w:highlight w:val="none"/>
              </w:rPr>
              <w:t xml:space="preserve">-&gt; Annahme des Antrages des GA bei 11 Gegenstimmen und 2 Enthaltungen </w:t>
            </w:r>
            <w:r>
              <w:rPr>
                <w:highlight w:val="none"/>
              </w:rPr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r/>
            <w:r>
              <w:rPr>
                <w:rFonts w:ascii="Arial" w:hAnsi="Arial" w:cs="Arial" w:eastAsia="Arial"/>
                <w:color w:val="000000"/>
              </w:rPr>
              <w:t xml:space="preserve">13.12.2022 </w:t>
            </w:r>
            <w:r/>
          </w:p>
        </w:tc>
        <w:tc>
          <w:tcPr>
            <w:tcW w:w="4531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</w:rPr>
              <w:t xml:space="preserve">Wahlkampfhaushalt beschlossen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</w:rPr>
              <w:t xml:space="preserve">Rechnungsprüfungsbericht wurde</w:t>
            </w:r>
            <w:r/>
          </w:p>
          <w:p>
            <w:pPr>
              <w:ind w:left="0" w:right="0" w:firstLine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</w:rPr>
              <w:t xml:space="preserve">angenommen</w:t>
            </w:r>
            <w:r/>
          </w:p>
          <w:p>
            <w:r>
              <w:rPr>
                <w:rFonts w:ascii="Arial" w:hAnsi="Arial" w:cs="Arial" w:eastAsia="Arial"/>
                <w:color w:val="000000"/>
              </w:rPr>
              <w:t xml:space="preserve">GA wurde entlastet</w:t>
            </w:r>
            <w:r/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Arvo Gruen">
    <w:panose1 w:val="05040102010807070707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Ø"/>
      <w:lvlJc w:val="left"/>
      <w:pPr>
        <w:ind w:left="709" w:hanging="360"/>
      </w:pPr>
      <w:rPr>
        <w:rFonts w:ascii="Wingdings" w:hAnsi="Wingdings" w:cs="Wingdings" w:eastAsia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de-DE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643">
    <w:name w:val="Heading 1"/>
    <w:basedOn w:val="819"/>
    <w:next w:val="819"/>
    <w:link w:val="644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44">
    <w:name w:val="Heading 1 Char"/>
    <w:basedOn w:val="820"/>
    <w:link w:val="643"/>
    <w:uiPriority w:val="9"/>
    <w:rPr>
      <w:rFonts w:ascii="Arial" w:hAnsi="Arial" w:cs="Arial" w:eastAsia="Arial"/>
      <w:sz w:val="40"/>
      <w:szCs w:val="40"/>
    </w:rPr>
  </w:style>
  <w:style w:type="paragraph" w:styleId="645">
    <w:name w:val="Heading 2"/>
    <w:basedOn w:val="819"/>
    <w:next w:val="819"/>
    <w:link w:val="64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6">
    <w:name w:val="Heading 2 Char"/>
    <w:basedOn w:val="820"/>
    <w:link w:val="645"/>
    <w:uiPriority w:val="9"/>
    <w:rPr>
      <w:rFonts w:ascii="Arial" w:hAnsi="Arial" w:cs="Arial" w:eastAsia="Arial"/>
      <w:sz w:val="34"/>
    </w:rPr>
  </w:style>
  <w:style w:type="paragraph" w:styleId="647">
    <w:name w:val="Heading 3"/>
    <w:basedOn w:val="819"/>
    <w:next w:val="819"/>
    <w:link w:val="6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8">
    <w:name w:val="Heading 3 Char"/>
    <w:basedOn w:val="820"/>
    <w:link w:val="647"/>
    <w:uiPriority w:val="9"/>
    <w:rPr>
      <w:rFonts w:ascii="Arial" w:hAnsi="Arial" w:cs="Arial" w:eastAsia="Arial"/>
      <w:sz w:val="30"/>
      <w:szCs w:val="30"/>
    </w:rPr>
  </w:style>
  <w:style w:type="paragraph" w:styleId="649">
    <w:name w:val="Heading 4"/>
    <w:basedOn w:val="819"/>
    <w:next w:val="819"/>
    <w:link w:val="65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0">
    <w:name w:val="Heading 4 Char"/>
    <w:basedOn w:val="820"/>
    <w:link w:val="649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819"/>
    <w:next w:val="819"/>
    <w:link w:val="65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2">
    <w:name w:val="Heading 5 Char"/>
    <w:basedOn w:val="820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basedOn w:val="819"/>
    <w:next w:val="819"/>
    <w:link w:val="6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4">
    <w:name w:val="Heading 6 Char"/>
    <w:basedOn w:val="820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819"/>
    <w:next w:val="819"/>
    <w:link w:val="6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7 Char"/>
    <w:basedOn w:val="820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basedOn w:val="819"/>
    <w:next w:val="819"/>
    <w:link w:val="6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8">
    <w:name w:val="Heading 8 Char"/>
    <w:basedOn w:val="820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basedOn w:val="819"/>
    <w:next w:val="819"/>
    <w:link w:val="6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0">
    <w:name w:val="Heading 9 Char"/>
    <w:basedOn w:val="820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List Paragraph"/>
    <w:basedOn w:val="819"/>
    <w:uiPriority w:val="34"/>
    <w:qFormat/>
    <w:pPr>
      <w:contextualSpacing/>
      <w:ind w:left="720"/>
    </w:p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9"/>
    <w:next w:val="819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20"/>
    <w:link w:val="663"/>
    <w:uiPriority w:val="10"/>
    <w:rPr>
      <w:sz w:val="48"/>
      <w:szCs w:val="48"/>
    </w:rPr>
  </w:style>
  <w:style w:type="paragraph" w:styleId="665">
    <w:name w:val="Subtitle"/>
    <w:basedOn w:val="819"/>
    <w:next w:val="819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20"/>
    <w:link w:val="665"/>
    <w:uiPriority w:val="11"/>
    <w:rPr>
      <w:sz w:val="24"/>
      <w:szCs w:val="24"/>
    </w:rPr>
  </w:style>
  <w:style w:type="paragraph" w:styleId="667">
    <w:name w:val="Quote"/>
    <w:basedOn w:val="819"/>
    <w:next w:val="819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9"/>
    <w:next w:val="819"/>
    <w:link w:val="67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19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0"/>
    <w:link w:val="671"/>
    <w:uiPriority w:val="99"/>
  </w:style>
  <w:style w:type="paragraph" w:styleId="673">
    <w:name w:val="Footer"/>
    <w:basedOn w:val="819"/>
    <w:link w:val="67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0"/>
    <w:link w:val="673"/>
    <w:uiPriority w:val="99"/>
  </w:style>
  <w:style w:type="paragraph" w:styleId="675">
    <w:name w:val="Caption"/>
    <w:basedOn w:val="819"/>
    <w:next w:val="8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6">
    <w:name w:val="Caption Char"/>
    <w:basedOn w:val="675"/>
    <w:link w:val="673"/>
    <w:uiPriority w:val="99"/>
  </w:style>
  <w:style w:type="table" w:styleId="677">
    <w:name w:val="Table Grid Light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basedOn w:val="8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text1" w:themeFillTint="40"/>
    </w:tblPr>
    <w:tblStylePr w:type="band1Horz">
      <w:tcPr>
        <w:shd w:val="clear" w:color="ffffff" w:fill="ffffff" w:themeFill="text1" w:themeFillTint="75"/>
      </w:tcPr>
    </w:tblStylePr>
    <w:tblStylePr w:type="band1Vert">
      <w:tcPr>
        <w:shd w:val="clear" w:color="ffffff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1" w:themeFillTint="34"/>
    </w:tblPr>
    <w:tblStylePr w:type="band1Horz">
      <w:tcPr>
        <w:shd w:val="clear" w:color="ffffff" w:fill="ffffff" w:themeFill="accent1" w:themeFillTint="75"/>
      </w:tcPr>
    </w:tblStylePr>
    <w:tblStylePr w:type="band1Vert">
      <w:tcPr>
        <w:shd w:val="clear" w:color="ffffff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2" w:themeFillTint="32"/>
    </w:tblPr>
    <w:tblStylePr w:type="band1Horz">
      <w:tcPr>
        <w:shd w:val="clear" w:color="ffffff" w:fill="ffffff" w:themeFill="accent2" w:themeFillTint="75"/>
      </w:tcPr>
    </w:tblStylePr>
    <w:tblStylePr w:type="band1Vert">
      <w:tcPr>
        <w:shd w:val="clear" w:color="ffffff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3" w:themeFillTint="34"/>
    </w:tblPr>
    <w:tblStylePr w:type="band1Horz">
      <w:tcPr>
        <w:shd w:val="clear" w:color="ffffff" w:fill="ffffff" w:themeFill="accent3" w:themeFillTint="75"/>
      </w:tcPr>
    </w:tblStylePr>
    <w:tblStylePr w:type="band1Vert">
      <w:tcPr>
        <w:shd w:val="clear" w:color="ffffff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4" w:themeFillTint="34"/>
    </w:tblPr>
    <w:tblStylePr w:type="band1Horz">
      <w:tcPr>
        <w:shd w:val="clear" w:color="ffffff" w:fill="ffffff" w:themeFill="accent4" w:themeFillTint="75"/>
      </w:tcPr>
    </w:tblStylePr>
    <w:tblStylePr w:type="band1Vert">
      <w:tcPr>
        <w:shd w:val="clear" w:color="ffffff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5" w:themeFillTint="34"/>
    </w:tblPr>
    <w:tblStylePr w:type="band1Horz">
      <w:tcPr>
        <w:shd w:val="clear" w:color="ffffff" w:fill="ffffff" w:themeFill="accent5" w:themeFillTint="75"/>
      </w:tcPr>
    </w:tblStylePr>
    <w:tblStylePr w:type="band1Vert">
      <w:tcPr>
        <w:shd w:val="clear" w:color="ffffff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 w:themeFill="accent6" w:themeFillTint="34"/>
    </w:tblPr>
    <w:tblStylePr w:type="band1Horz">
      <w:tcPr>
        <w:shd w:val="clear" w:color="ffffff" w:fill="ffffff" w:themeFill="accent6" w:themeFillTint="75"/>
      </w:tcPr>
    </w:tblStylePr>
    <w:tblStylePr w:type="band1Vert">
      <w:tcPr>
        <w:shd w:val="clear" w:color="ffffff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 w:themeFill="text1" w:themeFillTint="34"/>
      </w:tcPr>
    </w:tblStylePr>
    <w:tblStylePr w:type="band1Vert">
      <w:tcPr>
        <w:shd w:val="clear" w:color="ffffff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0D"/>
      </w:tcPr>
    </w:tblStylePr>
    <w:tblStylePr w:type="band1Vert">
      <w:tcPr>
        <w:shd w:val="clear" w:color="ffffff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fill="ffffff" w:themeFill="accent1" w:themeFillTint="34"/>
      </w:tcPr>
    </w:tblStylePr>
    <w:tblStylePr w:type="band1Vert">
      <w:tcPr>
        <w:shd w:val="clear" w:color="ffffff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32"/>
      </w:tcPr>
    </w:tblStylePr>
    <w:tblStylePr w:type="band1Vert">
      <w:tcPr>
        <w:shd w:val="clear" w:color="ffffff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 w:themeFill="accent3" w:themeFillTint="34"/>
      </w:tcPr>
    </w:tblStylePr>
    <w:tblStylePr w:type="band1Vert">
      <w:tcPr>
        <w:shd w:val="clear" w:color="ffffff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34"/>
      </w:tcPr>
    </w:tblStylePr>
    <w:tblStylePr w:type="band1Vert">
      <w:tcPr>
        <w:shd w:val="clear" w:color="ffffff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fill="ffffff" w:themeFill="accent5" w:themeFillTint="34"/>
      </w:tcPr>
    </w:tblStylePr>
    <w:tblStylePr w:type="band1Vert">
      <w:tcPr>
        <w:shd w:val="clear" w:color="ffffff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 w:themeFill="accent6" w:themeFillTint="34"/>
      </w:tcPr>
    </w:tblStylePr>
    <w:tblStylePr w:type="band1Vert">
      <w:tcPr>
        <w:shd w:val="clear" w:color="ffffff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 w:themeFill="text1" w:themeFillTint="80"/>
    </w:tblPr>
    <w:tblStylePr w:type="band1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 w:themeFill="accent1"/>
    </w:tblPr>
    <w:tblStylePr w:type="band1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 w:themeFill="accent2" w:themeFillTint="97"/>
    </w:tblPr>
    <w:tblStylePr w:type="band1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 w:themeFill="accent3" w:themeFillTint="98"/>
    </w:tblPr>
    <w:tblStylePr w:type="band1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 w:themeFill="accent4" w:themeFillTint="9A"/>
    </w:tblPr>
    <w:tblStylePr w:type="band1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 w:themeFill="accent5" w:themeFillTint="9A"/>
    </w:tblPr>
    <w:tblStylePr w:type="band1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 w:themeFill="accent6" w:themeFillTint="98"/>
    </w:tblPr>
    <w:tblStylePr w:type="band1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 w:themeFill="text1" w:themeFillTint="40"/>
      </w:tcPr>
    </w:tblStylePr>
    <w:tblStylePr w:type="band1Vert">
      <w:tcPr>
        <w:shd w:val="clear" w:color="ffffff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fill="ffffff" w:themeFill="accent1" w:themeFillTint="40"/>
      </w:tcPr>
    </w:tblStylePr>
    <w:tblStylePr w:type="band1Vert">
      <w:tcPr>
        <w:shd w:val="clear" w:color="ffffff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 w:themeFill="accent2" w:themeFillTint="40"/>
      </w:tcPr>
    </w:tblStylePr>
    <w:tblStylePr w:type="band1Vert">
      <w:tcPr>
        <w:shd w:val="clear" w:color="ffffff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 w:themeFill="accent3" w:themeFillTint="40"/>
      </w:tcPr>
    </w:tblStylePr>
    <w:tblStylePr w:type="band1Vert">
      <w:tcPr>
        <w:shd w:val="clear" w:color="ffffff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 w:themeFill="accent4" w:themeFillTint="40"/>
      </w:tcPr>
    </w:tblStylePr>
    <w:tblStylePr w:type="band1Vert">
      <w:tcPr>
        <w:shd w:val="clear" w:color="ffffff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fill="ffffff" w:themeFill="accent5" w:themeFillTint="40"/>
      </w:tcPr>
    </w:tblStylePr>
    <w:tblStylePr w:type="band1Vert">
      <w:tcPr>
        <w:shd w:val="clear" w:color="ffffff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 w:themeFill="accent6" w:themeFillTint="40"/>
      </w:tcPr>
    </w:tblStylePr>
    <w:tblStylePr w:type="band1Vert">
      <w:tcPr>
        <w:shd w:val="clear" w:color="ffffff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2">
    <w:name w:val="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83">
    <w:name w:val="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84">
    <w:name w:val="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85">
    <w:name w:val="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86">
    <w:name w:val="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87">
    <w:name w:val="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88">
    <w:name w:val="Bordered &amp; Lined - Accent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text1" w:themeFillTint="80"/>
      </w:tcPr>
    </w:tblStylePr>
  </w:style>
  <w:style w:type="table" w:styleId="789">
    <w:name w:val="Bordered &amp; Lined - Accent 1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1" w:themeFillTint="EA"/>
      </w:tcPr>
    </w:tblStylePr>
  </w:style>
  <w:style w:type="table" w:styleId="790">
    <w:name w:val="Bordered &amp; Lined - Accent 2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2" w:themeFillTint="97"/>
      </w:tcPr>
    </w:tblStylePr>
  </w:style>
  <w:style w:type="table" w:styleId="791">
    <w:name w:val="Bordered &amp; Lined - Accent 3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3" w:themeFillTint="FE"/>
      </w:tcPr>
    </w:tblStylePr>
  </w:style>
  <w:style w:type="table" w:styleId="792">
    <w:name w:val="Bordered &amp; Lined - Accent 4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4" w:themeFillTint="9A"/>
      </w:tcPr>
    </w:tblStylePr>
  </w:style>
  <w:style w:type="table" w:styleId="793">
    <w:name w:val="Bordered &amp; Lined - Accent 5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5"/>
      </w:tcPr>
    </w:tblStylePr>
  </w:style>
  <w:style w:type="table" w:styleId="794">
    <w:name w:val="Bordered &amp; Lined - Accent 6"/>
    <w:basedOn w:val="8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 w:themeFill="accent6"/>
      </w:tcPr>
    </w:tblStylePr>
  </w:style>
  <w:style w:type="table" w:styleId="795">
    <w:name w:val="Bordered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basedOn w:val="8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19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basedOn w:val="820"/>
    <w:uiPriority w:val="99"/>
    <w:unhideWhenUsed/>
    <w:rPr>
      <w:vertAlign w:val="superscript"/>
    </w:rPr>
  </w:style>
  <w:style w:type="paragraph" w:styleId="806">
    <w:name w:val="endnote text"/>
    <w:basedOn w:val="819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basedOn w:val="820"/>
    <w:uiPriority w:val="99"/>
    <w:semiHidden/>
    <w:unhideWhenUsed/>
    <w:rPr>
      <w:vertAlign w:val="superscript"/>
    </w:rPr>
  </w:style>
  <w:style w:type="paragraph" w:styleId="809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 w:default="1">
    <w:name w:val="Normal"/>
    <w:qFormat/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table" w:styleId="823">
    <w:name w:val="Table Grid"/>
    <w:basedOn w:val="82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Grüne Xhain</dc:creator>
  <cp:keywords/>
  <dc:description/>
  <cp:lastModifiedBy>Lukas Kuhnert</cp:lastModifiedBy>
  <cp:revision>11</cp:revision>
  <dcterms:created xsi:type="dcterms:W3CDTF">2021-08-12T13:16:00Z</dcterms:created>
  <dcterms:modified xsi:type="dcterms:W3CDTF">2023-01-31T17:34:43Z</dcterms:modified>
</cp:coreProperties>
</file>